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9F" w:rsidRDefault="00AF259F" w:rsidP="00AF25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F259F">
        <w:rPr>
          <w:rFonts w:ascii="Arial" w:hAnsi="Arial" w:cs="Arial"/>
          <w:bCs/>
          <w:spacing w:val="-3"/>
          <w:sz w:val="22"/>
          <w:szCs w:val="22"/>
        </w:rPr>
        <w:t>The Queensland Government committed to the development of a 30</w:t>
      </w:r>
      <w:r>
        <w:rPr>
          <w:rFonts w:ascii="Arial" w:hAnsi="Arial" w:cs="Arial"/>
          <w:bCs/>
          <w:spacing w:val="-3"/>
          <w:sz w:val="22"/>
          <w:szCs w:val="22"/>
        </w:rPr>
        <w:t>-y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ear 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lectricity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trategy.  </w:t>
      </w:r>
    </w:p>
    <w:p w:rsidR="00AF259F" w:rsidRDefault="00AF259F" w:rsidP="00AF25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The strategy has been </w:t>
      </w:r>
      <w:r>
        <w:rPr>
          <w:rFonts w:ascii="Arial" w:hAnsi="Arial" w:cs="Arial"/>
          <w:bCs/>
          <w:spacing w:val="-3"/>
          <w:sz w:val="22"/>
          <w:szCs w:val="22"/>
        </w:rPr>
        <w:t>prepared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 following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extensive public consultation. This included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 the release o</w:t>
      </w:r>
      <w:r>
        <w:rPr>
          <w:rFonts w:ascii="Arial" w:hAnsi="Arial" w:cs="Arial"/>
          <w:bCs/>
          <w:spacing w:val="-3"/>
          <w:sz w:val="22"/>
          <w:szCs w:val="22"/>
        </w:rPr>
        <w:t>f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 a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irections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paper in December 2012 </w:t>
      </w:r>
      <w:r w:rsidR="00CB5904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>
        <w:rPr>
          <w:rFonts w:ascii="Arial" w:hAnsi="Arial" w:cs="Arial"/>
          <w:bCs/>
          <w:spacing w:val="-3"/>
          <w:sz w:val="22"/>
          <w:szCs w:val="22"/>
        </w:rPr>
        <w:t>a detailed discussion p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aper </w:t>
      </w:r>
      <w:r>
        <w:rPr>
          <w:rFonts w:ascii="Arial" w:hAnsi="Arial" w:cs="Arial"/>
          <w:bCs/>
          <w:spacing w:val="-3"/>
          <w:sz w:val="22"/>
          <w:szCs w:val="22"/>
        </w:rPr>
        <w:t>in September 2013.</w:t>
      </w:r>
    </w:p>
    <w:p w:rsidR="00AF259F" w:rsidRDefault="00AF259F" w:rsidP="00AF25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30-year electricity strategy sets out a vision for an electricity sector which is resilient, cost-effective and customer-focussed to support the economic and lifestyle aspirations of Queenslanders. </w:t>
      </w:r>
    </w:p>
    <w:p w:rsidR="00AF259F" w:rsidRDefault="00AF259F" w:rsidP="00AF25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It is structured around a joint accountability model, reflecting the roles of electricity consumers, the electricity market and government in achieving this vision. </w:t>
      </w:r>
    </w:p>
    <w:p w:rsidR="00AF259F" w:rsidRDefault="00AF259F" w:rsidP="00AF25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strategy sets out a series of strategies and actions the Queensland Government will take to achieve its goals for these three strategy stakeholder groups.  </w:t>
      </w:r>
    </w:p>
    <w:p w:rsidR="00AF259F" w:rsidRDefault="00AF259F" w:rsidP="00AF25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259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AF259F">
        <w:rPr>
          <w:rFonts w:ascii="Arial" w:hAnsi="Arial" w:cs="Arial"/>
          <w:bCs/>
          <w:spacing w:val="-3"/>
          <w:sz w:val="22"/>
          <w:szCs w:val="22"/>
        </w:rPr>
        <w:t xml:space="preserve"> the release of </w:t>
      </w:r>
      <w:r w:rsidR="00417AEF" w:rsidRPr="00417AEF">
        <w:rPr>
          <w:rFonts w:ascii="Arial" w:hAnsi="Arial" w:cs="Arial"/>
          <w:bCs/>
          <w:spacing w:val="-3"/>
          <w:sz w:val="22"/>
          <w:szCs w:val="22"/>
        </w:rPr>
        <w:t>PowerQ - a 30-year strategy for Queensland’s electricity sector</w:t>
      </w:r>
      <w:r w:rsidRPr="00AF259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F259F" w:rsidRDefault="00AF259F" w:rsidP="002A230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259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40B57" w:rsidRPr="00140B57" w:rsidRDefault="00B83015" w:rsidP="00417AE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17AEF" w:rsidRPr="00417AEF">
          <w:rPr>
            <w:rStyle w:val="Hyperlink"/>
            <w:rFonts w:ascii="Arial" w:hAnsi="Arial" w:cs="Arial"/>
            <w:sz w:val="22"/>
            <w:szCs w:val="22"/>
          </w:rPr>
          <w:t>PowerQ - a 30-year strategy for Queensland’s electricity sector</w:t>
        </w:r>
      </w:hyperlink>
    </w:p>
    <w:sectPr w:rsidR="00140B57" w:rsidRPr="00140B57" w:rsidSect="002A230A">
      <w:headerReference w:type="default" r:id="rId12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3E" w:rsidRDefault="00855C3E" w:rsidP="00D6589B">
      <w:r>
        <w:separator/>
      </w:r>
    </w:p>
  </w:endnote>
  <w:endnote w:type="continuationSeparator" w:id="0">
    <w:p w:rsidR="00855C3E" w:rsidRDefault="00855C3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3E" w:rsidRDefault="00855C3E" w:rsidP="00D6589B">
      <w:r>
        <w:separator/>
      </w:r>
    </w:p>
  </w:footnote>
  <w:footnote w:type="continuationSeparator" w:id="0">
    <w:p w:rsidR="00855C3E" w:rsidRDefault="00855C3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57" w:rsidRPr="00937A4A" w:rsidRDefault="00140B57" w:rsidP="00140B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40B57" w:rsidRPr="00937A4A" w:rsidRDefault="00140B57" w:rsidP="00140B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40B57" w:rsidRPr="00937A4A" w:rsidRDefault="00140B57" w:rsidP="00140B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2014</w:t>
    </w:r>
  </w:p>
  <w:p w:rsidR="00140B57" w:rsidRDefault="00140B57" w:rsidP="00140B5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Release of the 30-year electricity strategy</w:t>
    </w:r>
  </w:p>
  <w:p w:rsidR="00140B57" w:rsidRDefault="00140B57" w:rsidP="00140B5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140B57" w:rsidRDefault="00140B57" w:rsidP="00140B5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3B3"/>
    <w:multiLevelType w:val="hybridMultilevel"/>
    <w:tmpl w:val="23AE3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16FD1"/>
    <w:rsid w:val="00080F8F"/>
    <w:rsid w:val="0010384C"/>
    <w:rsid w:val="0013371E"/>
    <w:rsid w:val="00140B57"/>
    <w:rsid w:val="001465FC"/>
    <w:rsid w:val="00174117"/>
    <w:rsid w:val="0022103F"/>
    <w:rsid w:val="002A230A"/>
    <w:rsid w:val="002D3633"/>
    <w:rsid w:val="002E1EF0"/>
    <w:rsid w:val="002E5023"/>
    <w:rsid w:val="00417AEF"/>
    <w:rsid w:val="00425ACD"/>
    <w:rsid w:val="004B38FD"/>
    <w:rsid w:val="004D170B"/>
    <w:rsid w:val="0050128A"/>
    <w:rsid w:val="00501C66"/>
    <w:rsid w:val="0050681D"/>
    <w:rsid w:val="00550873"/>
    <w:rsid w:val="005F36B2"/>
    <w:rsid w:val="00636C90"/>
    <w:rsid w:val="007265D0"/>
    <w:rsid w:val="00732E22"/>
    <w:rsid w:val="00741C20"/>
    <w:rsid w:val="0079035F"/>
    <w:rsid w:val="00816D06"/>
    <w:rsid w:val="00855C3E"/>
    <w:rsid w:val="00904077"/>
    <w:rsid w:val="0092208A"/>
    <w:rsid w:val="00937A4A"/>
    <w:rsid w:val="00945402"/>
    <w:rsid w:val="00954C7B"/>
    <w:rsid w:val="00AF259F"/>
    <w:rsid w:val="00B03571"/>
    <w:rsid w:val="00B83015"/>
    <w:rsid w:val="00B863EB"/>
    <w:rsid w:val="00BA7B01"/>
    <w:rsid w:val="00C75E67"/>
    <w:rsid w:val="00CA6F08"/>
    <w:rsid w:val="00CB1501"/>
    <w:rsid w:val="00CB5904"/>
    <w:rsid w:val="00CD7A50"/>
    <w:rsid w:val="00CF0D8A"/>
    <w:rsid w:val="00CF3D2B"/>
    <w:rsid w:val="00D013D0"/>
    <w:rsid w:val="00D6589B"/>
    <w:rsid w:val="00D766EC"/>
    <w:rsid w:val="00EA633C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7A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Strategy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2D9AB-A543-497B-A3BF-2E1B1C68E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1EBE5-B961-4BB7-8395-67A0043A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A6E156-C323-4800-B698-C5564B4465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CB3009-37D0-4812-BB39-471B71FB3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146</Words>
  <Characters>853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Base>https://www.cabinet.qld.gov.au/documents/2014/May/ElecStrat/</HyperlinkBase>
  <HLinks>
    <vt:vector size="6" baseType="variant"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2014-04-16T05:50:00Z</cp:lastPrinted>
  <dcterms:created xsi:type="dcterms:W3CDTF">2017-10-25T01:16:00Z</dcterms:created>
  <dcterms:modified xsi:type="dcterms:W3CDTF">2018-03-06T01:26:00Z</dcterms:modified>
  <cp:category>Electricity,Energy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